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4E" w:rsidRDefault="00742E96" w:rsidP="0078234E">
      <w:pPr>
        <w:jc w:val="center"/>
        <w:rPr>
          <w:b/>
        </w:rPr>
      </w:pPr>
      <w:r>
        <w:rPr>
          <w:b/>
        </w:rPr>
        <w:t>Karta przedmiotu</w:t>
      </w:r>
      <w:r w:rsidR="0078234E" w:rsidRPr="007E787C">
        <w:rPr>
          <w:b/>
        </w:rPr>
        <w:t xml:space="preserve"> </w:t>
      </w:r>
    </w:p>
    <w:p w:rsidR="0078234E" w:rsidRDefault="0078234E" w:rsidP="0078234E">
      <w:pPr>
        <w:jc w:val="center"/>
        <w:rPr>
          <w:b/>
        </w:rPr>
      </w:pPr>
      <w:r>
        <w:rPr>
          <w:b/>
        </w:rPr>
        <w:t>Prawo gospodarcze Unii Europejskiej</w:t>
      </w:r>
      <w:r w:rsidR="00287572">
        <w:rPr>
          <w:b/>
        </w:rPr>
        <w:t>- Ćwiczenia</w:t>
      </w:r>
    </w:p>
    <w:p w:rsidR="0078234E" w:rsidRDefault="0078234E" w:rsidP="0078234E">
      <w:pPr>
        <w:jc w:val="center"/>
        <w:rPr>
          <w:b/>
        </w:rPr>
      </w:pPr>
      <w:r w:rsidRPr="00CE0FCF">
        <w:rPr>
          <w:b/>
        </w:rPr>
        <w:t>Prawo (stacjonarne jednolite magisterskie)</w:t>
      </w:r>
    </w:p>
    <w:p w:rsidR="0078234E" w:rsidRPr="007E787C" w:rsidRDefault="00742E96" w:rsidP="0078234E">
      <w:pPr>
        <w:jc w:val="center"/>
        <w:rPr>
          <w:b/>
        </w:rPr>
      </w:pPr>
      <w:r>
        <w:rPr>
          <w:b/>
        </w:rPr>
        <w:t>2022</w:t>
      </w:r>
      <w:r w:rsidR="0078234E" w:rsidRPr="00CE0FCF">
        <w:rPr>
          <w:b/>
        </w:rPr>
        <w:t>/20</w:t>
      </w:r>
      <w:r>
        <w:rPr>
          <w:b/>
        </w:rPr>
        <w:t>23</w:t>
      </w:r>
    </w:p>
    <w:p w:rsidR="0078234E" w:rsidRPr="007E787C" w:rsidRDefault="0078234E" w:rsidP="0078234E">
      <w:pPr>
        <w:jc w:val="both"/>
      </w:pPr>
    </w:p>
    <w:tbl>
      <w:tblPr>
        <w:tblW w:w="9269" w:type="dxa"/>
        <w:tblInd w:w="-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480"/>
        <w:gridCol w:w="7317"/>
      </w:tblGrid>
      <w:tr w:rsidR="0078234E" w:rsidRPr="007E787C" w:rsidTr="0086395A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34E" w:rsidRPr="007E787C" w:rsidRDefault="0078234E" w:rsidP="0086395A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34E" w:rsidRDefault="0078234E" w:rsidP="0086395A">
            <w:pPr>
              <w:pStyle w:val="Nagwek1"/>
              <w:snapToGrid w:val="0"/>
              <w:spacing w:line="200" w:lineRule="atLeast"/>
              <w:rPr>
                <w:lang w:val="pl-PL"/>
              </w:rPr>
            </w:pPr>
            <w:r>
              <w:rPr>
                <w:lang w:val="pl-PL"/>
              </w:rPr>
              <w:t>Data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4E" w:rsidRPr="007E787C" w:rsidRDefault="0078234E" w:rsidP="0086395A">
            <w:pPr>
              <w:pStyle w:val="Nagwek1"/>
              <w:snapToGrid w:val="0"/>
              <w:ind w:left="0"/>
              <w:rPr>
                <w:lang w:val="pl-PL"/>
              </w:rPr>
            </w:pPr>
            <w:r w:rsidRPr="007E787C">
              <w:rPr>
                <w:lang w:val="pl-PL"/>
              </w:rPr>
              <w:t>Temat zajęć</w:t>
            </w:r>
          </w:p>
        </w:tc>
      </w:tr>
      <w:tr w:rsidR="0078234E" w:rsidRPr="007E787C" w:rsidTr="000A40F5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34E" w:rsidRPr="007E787C" w:rsidRDefault="0078234E" w:rsidP="0086395A">
            <w:pPr>
              <w:snapToGrid w:val="0"/>
              <w:spacing w:line="200" w:lineRule="atLeast"/>
              <w:jc w:val="center"/>
            </w:pPr>
            <w:r w:rsidRPr="007E787C"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34E" w:rsidRPr="007E787C" w:rsidRDefault="00731319" w:rsidP="0078234E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2023-02-22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4E" w:rsidRPr="0017421E" w:rsidRDefault="00742E96" w:rsidP="0017421E">
            <w:r w:rsidRPr="0017421E">
              <w:t>Zajęcia wprowadzające</w:t>
            </w:r>
            <w:r w:rsidR="006B7035" w:rsidRPr="0017421E">
              <w:t>.</w:t>
            </w:r>
          </w:p>
        </w:tc>
      </w:tr>
      <w:tr w:rsidR="0078234E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34E" w:rsidRPr="007E787C" w:rsidRDefault="0078234E" w:rsidP="0086395A">
            <w:pPr>
              <w:snapToGrid w:val="0"/>
              <w:spacing w:line="200" w:lineRule="atLeast"/>
              <w:jc w:val="center"/>
            </w:pPr>
            <w:r w:rsidRPr="007E787C"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34E" w:rsidRPr="007E787C" w:rsidRDefault="00731319" w:rsidP="0086395A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2023-03-01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4E" w:rsidRPr="0017421E" w:rsidRDefault="00742E96" w:rsidP="0017421E">
            <w:r w:rsidRPr="0017421E">
              <w:t>Podstawowe pojęcia prawa materialnego. Charakter prawa Unii. Rola orzecznictwa TSUE</w:t>
            </w:r>
            <w:r w:rsidR="006B7035" w:rsidRPr="0017421E">
              <w:t>.</w:t>
            </w:r>
          </w:p>
        </w:tc>
      </w:tr>
      <w:tr w:rsidR="0078234E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34E" w:rsidRPr="007E787C" w:rsidRDefault="0078234E" w:rsidP="0086395A">
            <w:pPr>
              <w:snapToGrid w:val="0"/>
              <w:spacing w:line="200" w:lineRule="atLeast"/>
              <w:jc w:val="center"/>
            </w:pPr>
            <w:r w:rsidRPr="007E787C"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34E" w:rsidRPr="007E787C" w:rsidRDefault="00731319" w:rsidP="0078234E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2023-03-08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34E" w:rsidRPr="0017421E" w:rsidRDefault="000573C0" w:rsidP="0017421E">
            <w:r w:rsidRPr="0017421E">
              <w:t>Obywatelstwo Unii</w:t>
            </w:r>
            <w:r w:rsidR="0012308C" w:rsidRPr="0017421E">
              <w:t xml:space="preserve">. </w:t>
            </w:r>
            <w:r w:rsidR="006B7035" w:rsidRPr="0017421E">
              <w:rPr>
                <w:rStyle w:val="przypisydolne"/>
                <w:sz w:val="24"/>
              </w:rPr>
              <w:t xml:space="preserve">C-200/02 </w:t>
            </w:r>
            <w:proofErr w:type="spellStart"/>
            <w:r w:rsidR="006B7035" w:rsidRPr="0017421E">
              <w:rPr>
                <w:rStyle w:val="przypisydolne"/>
                <w:sz w:val="24"/>
              </w:rPr>
              <w:t>Zhu</w:t>
            </w:r>
            <w:proofErr w:type="spellEnd"/>
            <w:r w:rsidR="006B7035" w:rsidRPr="0017421E">
              <w:rPr>
                <w:rStyle w:val="przypisydolne"/>
                <w:sz w:val="24"/>
              </w:rPr>
              <w:t xml:space="preserve"> i Chen. </w:t>
            </w:r>
            <w:r w:rsidR="006B7035" w:rsidRPr="0017421E">
              <w:t xml:space="preserve">C-34/09 </w:t>
            </w:r>
            <w:proofErr w:type="spellStart"/>
            <w:r w:rsidR="006B7035" w:rsidRPr="0017421E">
              <w:t>Zambrano</w:t>
            </w:r>
            <w:proofErr w:type="spellEnd"/>
            <w:r w:rsidR="006B7035" w:rsidRPr="0017421E">
              <w:t>.</w:t>
            </w:r>
          </w:p>
        </w:tc>
      </w:tr>
      <w:tr w:rsidR="000573C0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3C0" w:rsidRPr="007E787C" w:rsidRDefault="000573C0" w:rsidP="000573C0">
            <w:pPr>
              <w:snapToGrid w:val="0"/>
              <w:spacing w:line="200" w:lineRule="atLeast"/>
              <w:jc w:val="center"/>
            </w:pPr>
            <w:r w:rsidRPr="007E787C"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3C0" w:rsidRPr="007E787C" w:rsidRDefault="00731319" w:rsidP="000573C0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2023-03-15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3C0" w:rsidRPr="0017421E" w:rsidRDefault="0012308C" w:rsidP="0017421E">
            <w:r w:rsidRPr="0017421E">
              <w:t>Obywatelstwo Unii</w:t>
            </w:r>
            <w:r w:rsidR="006B7035" w:rsidRPr="0017421E">
              <w:t xml:space="preserve">. </w:t>
            </w:r>
            <w:r w:rsidR="006B7035" w:rsidRPr="0017421E">
              <w:rPr>
                <w:rStyle w:val="przypisydolne"/>
                <w:sz w:val="24"/>
              </w:rPr>
              <w:t xml:space="preserve"> C-369/90 </w:t>
            </w:r>
            <w:proofErr w:type="spellStart"/>
            <w:r w:rsidR="006B7035" w:rsidRPr="0017421E">
              <w:rPr>
                <w:rStyle w:val="przypisydolne"/>
                <w:sz w:val="24"/>
              </w:rPr>
              <w:t>Micheletti</w:t>
            </w:r>
            <w:proofErr w:type="spellEnd"/>
            <w:r w:rsidR="006B7035" w:rsidRPr="0017421E">
              <w:rPr>
                <w:rStyle w:val="przypisydolne"/>
                <w:sz w:val="24"/>
              </w:rPr>
              <w:t xml:space="preserve">. </w:t>
            </w:r>
            <w:r w:rsidR="006B7035" w:rsidRPr="0017421E">
              <w:t xml:space="preserve">C-673/16 </w:t>
            </w:r>
            <w:proofErr w:type="spellStart"/>
            <w:r w:rsidR="006B7035" w:rsidRPr="0017421E">
              <w:t>Coman</w:t>
            </w:r>
            <w:proofErr w:type="spellEnd"/>
            <w:r w:rsidR="006B7035" w:rsidRPr="0017421E">
              <w:t>.</w:t>
            </w:r>
          </w:p>
        </w:tc>
      </w:tr>
      <w:tr w:rsidR="0012308C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8C" w:rsidRPr="007E787C" w:rsidRDefault="0012308C" w:rsidP="0012308C">
            <w:pPr>
              <w:snapToGrid w:val="0"/>
              <w:spacing w:line="200" w:lineRule="atLeast"/>
              <w:jc w:val="center"/>
            </w:pPr>
            <w:r w:rsidRPr="007E787C">
              <w:t>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08C" w:rsidRPr="007E787C" w:rsidRDefault="00731319" w:rsidP="0012308C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2023-03-22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C" w:rsidRPr="0017421E" w:rsidRDefault="0012308C" w:rsidP="0017421E">
            <w:r w:rsidRPr="0017421E">
              <w:t xml:space="preserve">Swobodny przepływ osób. C- 53/81 D.M. </w:t>
            </w:r>
            <w:proofErr w:type="spellStart"/>
            <w:r w:rsidRPr="0017421E">
              <w:t>Levin</w:t>
            </w:r>
            <w:proofErr w:type="spellEnd"/>
            <w:r w:rsidRPr="0017421E">
              <w:t xml:space="preserve">. </w:t>
            </w:r>
            <w:r w:rsidR="006B7035" w:rsidRPr="0017421E">
              <w:t xml:space="preserve">C- 344/87 I. </w:t>
            </w:r>
            <w:proofErr w:type="spellStart"/>
            <w:r w:rsidR="006B7035" w:rsidRPr="0017421E">
              <w:t>Bettray</w:t>
            </w:r>
            <w:proofErr w:type="spellEnd"/>
            <w:r w:rsidR="006B7035" w:rsidRPr="0017421E">
              <w:t>.</w:t>
            </w:r>
          </w:p>
        </w:tc>
      </w:tr>
      <w:tr w:rsidR="006B7035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 w:rsidRPr="007E787C">
              <w:t>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Pr="007E787C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2023-03-29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17421E" w:rsidRDefault="006B7035" w:rsidP="0017421E">
            <w:r w:rsidRPr="0017421E">
              <w:t xml:space="preserve">Swobodny przepływ osób. C- 66/85 </w:t>
            </w:r>
            <w:proofErr w:type="spellStart"/>
            <w:r w:rsidRPr="0017421E">
              <w:t>Deborah</w:t>
            </w:r>
            <w:proofErr w:type="spellEnd"/>
            <w:r w:rsidRPr="0017421E">
              <w:t xml:space="preserve"> </w:t>
            </w:r>
            <w:proofErr w:type="spellStart"/>
            <w:r w:rsidRPr="0017421E">
              <w:t>Lawrie</w:t>
            </w:r>
            <w:proofErr w:type="spellEnd"/>
            <w:r w:rsidRPr="0017421E">
              <w:t>-Blum.</w:t>
            </w:r>
          </w:p>
        </w:tc>
      </w:tr>
      <w:tr w:rsidR="006B7035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2023-04-12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17421E" w:rsidRDefault="006B7035" w:rsidP="0017421E">
            <w:r w:rsidRPr="0017421E">
              <w:t xml:space="preserve">Swobodny przepływ usług. C 159/90 </w:t>
            </w:r>
            <w:proofErr w:type="spellStart"/>
            <w:r w:rsidRPr="0017421E">
              <w:t>Grogan</w:t>
            </w:r>
            <w:proofErr w:type="spellEnd"/>
            <w:r w:rsidRPr="0017421E">
              <w:t>.</w:t>
            </w:r>
            <w:r w:rsidRPr="0017421E">
              <w:rPr>
                <w:sz w:val="23"/>
              </w:rPr>
              <w:t xml:space="preserve"> C 275/92 Schindler.</w:t>
            </w:r>
          </w:p>
        </w:tc>
      </w:tr>
      <w:tr w:rsidR="006B7035" w:rsidRPr="00731319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2023-04-19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4A340A" w:rsidRDefault="006B7035" w:rsidP="0017421E">
            <w:r w:rsidRPr="0017421E">
              <w:t xml:space="preserve">Swobodny przepływ przedsiębiorczości. C 55/94 Gebhard. </w:t>
            </w:r>
            <w:r w:rsidR="004A340A" w:rsidRPr="004A340A">
              <w:t xml:space="preserve">C 81/87 </w:t>
            </w:r>
            <w:proofErr w:type="spellStart"/>
            <w:r w:rsidR="004A340A" w:rsidRPr="004A340A">
              <w:t>Daily</w:t>
            </w:r>
            <w:proofErr w:type="spellEnd"/>
            <w:r w:rsidR="004A340A" w:rsidRPr="004A340A">
              <w:t xml:space="preserve"> Mail</w:t>
            </w:r>
            <w:r w:rsidR="004A340A">
              <w:t xml:space="preserve">. </w:t>
            </w:r>
            <w:r w:rsidR="004A340A" w:rsidRPr="004A340A">
              <w:t xml:space="preserve">C-106/16, </w:t>
            </w:r>
            <w:proofErr w:type="spellStart"/>
            <w:r w:rsidR="004A340A" w:rsidRPr="004A340A">
              <w:t>Polbud</w:t>
            </w:r>
            <w:proofErr w:type="spellEnd"/>
            <w:r w:rsidR="004A340A">
              <w:t>.</w:t>
            </w:r>
            <w:r w:rsidRPr="004A340A">
              <w:t xml:space="preserve"> C 221/89 </w:t>
            </w:r>
            <w:proofErr w:type="spellStart"/>
            <w:r w:rsidRPr="004A340A">
              <w:t>Factortame</w:t>
            </w:r>
            <w:proofErr w:type="spellEnd"/>
          </w:p>
        </w:tc>
      </w:tr>
      <w:tr w:rsidR="006B7035" w:rsidRPr="00731319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2023-04-26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4A340A" w:rsidRDefault="006B7035" w:rsidP="0017421E">
            <w:r w:rsidRPr="0017421E">
              <w:t xml:space="preserve">Ograniczenia swobód personalnych. C 36/02 Omega. </w:t>
            </w:r>
            <w:r w:rsidRPr="004A340A">
              <w:t xml:space="preserve">C- 100/01 </w:t>
            </w:r>
            <w:proofErr w:type="spellStart"/>
            <w:r w:rsidRPr="004A340A">
              <w:t>Olazabal</w:t>
            </w:r>
            <w:proofErr w:type="spellEnd"/>
            <w:r w:rsidRPr="004A340A">
              <w:t xml:space="preserve">. 41/74 </w:t>
            </w:r>
            <w:proofErr w:type="spellStart"/>
            <w:r w:rsidRPr="004A340A">
              <w:t>Ivonne</w:t>
            </w:r>
            <w:proofErr w:type="spellEnd"/>
            <w:r w:rsidRPr="004A340A">
              <w:t xml:space="preserve"> van </w:t>
            </w:r>
            <w:proofErr w:type="spellStart"/>
            <w:r w:rsidRPr="004A340A">
              <w:t>Duyn</w:t>
            </w:r>
            <w:proofErr w:type="spellEnd"/>
            <w:r w:rsidRPr="004A340A">
              <w:t>.</w:t>
            </w:r>
          </w:p>
        </w:tc>
      </w:tr>
      <w:tr w:rsidR="006B7035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731319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2023-05-10</w:t>
            </w:r>
            <w:r>
              <w:t xml:space="preserve"> 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17421E" w:rsidRDefault="006B7035" w:rsidP="0017421E">
            <w:r w:rsidRPr="0017421E">
              <w:t>Kolokwium pisemne.</w:t>
            </w:r>
          </w:p>
        </w:tc>
      </w:tr>
      <w:tr w:rsidR="006B7035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2023-05-17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17421E" w:rsidRDefault="006B7035" w:rsidP="0017421E">
            <w:r w:rsidRPr="0017421E">
              <w:t xml:space="preserve">Swobodny przepływ towarów. C 7/68 Komisja p. Włochom   </w:t>
            </w:r>
          </w:p>
          <w:p w:rsidR="006B7035" w:rsidRPr="0017421E" w:rsidRDefault="006B7035" w:rsidP="0017421E">
            <w:r w:rsidRPr="0017421E">
              <w:t xml:space="preserve"> C 8/74 </w:t>
            </w:r>
            <w:proofErr w:type="spellStart"/>
            <w:r w:rsidRPr="0017421E">
              <w:t>Dassonville</w:t>
            </w:r>
            <w:proofErr w:type="spellEnd"/>
          </w:p>
        </w:tc>
      </w:tr>
      <w:tr w:rsidR="006B7035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Default="006B7035" w:rsidP="006B7035">
            <w:pPr>
              <w:snapToGrid w:val="0"/>
              <w:spacing w:line="200" w:lineRule="atLeast"/>
              <w:jc w:val="center"/>
            </w:pPr>
            <w:r>
              <w:t>12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2023-05-24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17421E" w:rsidRDefault="006B7035" w:rsidP="0017421E">
            <w:r w:rsidRPr="0017421E">
              <w:t xml:space="preserve">Swobodny przepływ towarów. C 120/78 </w:t>
            </w:r>
            <w:proofErr w:type="spellStart"/>
            <w:r w:rsidRPr="0017421E">
              <w:t>Cassis</w:t>
            </w:r>
            <w:proofErr w:type="spellEnd"/>
            <w:r w:rsidRPr="0017421E">
              <w:t xml:space="preserve"> de Dijon,</w:t>
            </w:r>
          </w:p>
          <w:p w:rsidR="006B7035" w:rsidRPr="0017421E" w:rsidRDefault="006B7035" w:rsidP="0017421E">
            <w:r w:rsidRPr="0017421E">
              <w:t xml:space="preserve">C 267/91 </w:t>
            </w:r>
            <w:proofErr w:type="spellStart"/>
            <w:r w:rsidRPr="0017421E">
              <w:t>Keck</w:t>
            </w:r>
            <w:proofErr w:type="spellEnd"/>
            <w:r w:rsidRPr="0017421E">
              <w:t>,</w:t>
            </w:r>
          </w:p>
        </w:tc>
      </w:tr>
      <w:tr w:rsidR="006B7035" w:rsidRPr="004A340A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Default="006B7035" w:rsidP="006B7035">
            <w:pPr>
              <w:snapToGrid w:val="0"/>
              <w:spacing w:line="200" w:lineRule="atLeast"/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2023-05-31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731319" w:rsidRDefault="006B7035" w:rsidP="0017421E">
            <w:pPr>
              <w:rPr>
                <w:lang w:val="en-GB"/>
              </w:rPr>
            </w:pPr>
            <w:r w:rsidRPr="0017421E">
              <w:t xml:space="preserve">Swobodny przepływ kapitału i płatności. </w:t>
            </w:r>
            <w:r w:rsidRPr="00731319">
              <w:rPr>
                <w:lang w:val="en-GB"/>
              </w:rPr>
              <w:t xml:space="preserve">C 2 </w:t>
            </w:r>
            <w:proofErr w:type="spellStart"/>
            <w:r w:rsidRPr="00731319">
              <w:rPr>
                <w:lang w:val="en-GB"/>
              </w:rPr>
              <w:t>i</w:t>
            </w:r>
            <w:proofErr w:type="spellEnd"/>
            <w:r w:rsidRPr="00731319">
              <w:rPr>
                <w:lang w:val="en-GB"/>
              </w:rPr>
              <w:t xml:space="preserve"> 3/ 69 Diamond</w:t>
            </w:r>
          </w:p>
          <w:p w:rsidR="006B7035" w:rsidRPr="00731319" w:rsidRDefault="0017421E" w:rsidP="0017421E">
            <w:pPr>
              <w:rPr>
                <w:lang w:val="en-GB"/>
              </w:rPr>
            </w:pPr>
            <w:r w:rsidRPr="00731319">
              <w:rPr>
                <w:lang w:val="en-GB"/>
              </w:rPr>
              <w:t xml:space="preserve">C 72/83 Campus Oil, </w:t>
            </w:r>
          </w:p>
        </w:tc>
      </w:tr>
      <w:tr w:rsidR="006B7035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>
              <w:t>14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731319" w:rsidP="006B7035">
            <w:pPr>
              <w:jc w:val="center"/>
              <w:rPr>
                <w:color w:val="000000"/>
              </w:rPr>
            </w:pPr>
            <w:r w:rsidRPr="00731319">
              <w:rPr>
                <w:color w:val="000000"/>
              </w:rPr>
              <w:t>2023-06-07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17421E" w:rsidRDefault="006B7035" w:rsidP="0017421E">
            <w:r w:rsidRPr="0017421E">
              <w:t xml:space="preserve">Swobodny przepływ kapitału i płatności. C 286/82 </w:t>
            </w:r>
            <w:proofErr w:type="spellStart"/>
            <w:r w:rsidRPr="0017421E">
              <w:t>Luisi</w:t>
            </w:r>
            <w:proofErr w:type="spellEnd"/>
            <w:r w:rsidRPr="0017421E">
              <w:t xml:space="preserve"> and </w:t>
            </w:r>
            <w:proofErr w:type="spellStart"/>
            <w:r w:rsidRPr="0017421E">
              <w:t>Carbone</w:t>
            </w:r>
            <w:proofErr w:type="spellEnd"/>
            <w:r w:rsidRPr="0017421E">
              <w:t>.</w:t>
            </w:r>
          </w:p>
        </w:tc>
      </w:tr>
      <w:tr w:rsidR="006B7035" w:rsidRPr="007E787C" w:rsidTr="00742E96"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  <w:r>
              <w:t>15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B7035" w:rsidRPr="00731319" w:rsidRDefault="00731319" w:rsidP="00731319">
            <w:pPr>
              <w:suppressAutoHyphens w:val="0"/>
              <w:spacing w:after="75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2023-06-14</w:t>
            </w:r>
          </w:p>
        </w:tc>
        <w:tc>
          <w:tcPr>
            <w:tcW w:w="7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Pr="0017421E" w:rsidRDefault="006B7035" w:rsidP="0017421E">
            <w:r w:rsidRPr="0017421E">
              <w:t>Kolokwium ustne</w:t>
            </w:r>
            <w:r w:rsidR="00731319">
              <w:t>. Wystawienie ocen.</w:t>
            </w:r>
          </w:p>
        </w:tc>
      </w:tr>
      <w:tr w:rsidR="006B7035" w:rsidRPr="007E787C" w:rsidTr="0086395A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35" w:rsidRPr="007E787C" w:rsidRDefault="006B7035" w:rsidP="006B7035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035" w:rsidRDefault="006B7035" w:rsidP="006B7035">
            <w:pPr>
              <w:jc w:val="center"/>
              <w:rPr>
                <w:color w:val="000000"/>
              </w:rPr>
            </w:pP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35" w:rsidRDefault="006B7035" w:rsidP="006B7035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</w:tr>
    </w:tbl>
    <w:p w:rsidR="0078234E" w:rsidRPr="007E787C" w:rsidRDefault="0078234E" w:rsidP="0078234E"/>
    <w:p w:rsidR="0078234E" w:rsidRPr="007E787C" w:rsidRDefault="0078234E" w:rsidP="0078234E">
      <w:pPr>
        <w:rPr>
          <w:b/>
          <w:bCs/>
        </w:rPr>
      </w:pPr>
      <w:r w:rsidRPr="007E787C">
        <w:rPr>
          <w:b/>
          <w:bCs/>
        </w:rPr>
        <w:t>Akty prawne i literatura obowiązkowa:</w:t>
      </w:r>
    </w:p>
    <w:p w:rsidR="00287572" w:rsidRDefault="0017421E" w:rsidP="0017421E">
      <w:pPr>
        <w:numPr>
          <w:ilvl w:val="0"/>
          <w:numId w:val="3"/>
        </w:numPr>
        <w:rPr>
          <w:bCs/>
        </w:rPr>
      </w:pPr>
      <w:proofErr w:type="spellStart"/>
      <w:r w:rsidRPr="0017421E">
        <w:rPr>
          <w:bCs/>
        </w:rPr>
        <w:t>Kornobis</w:t>
      </w:r>
      <w:proofErr w:type="spellEnd"/>
      <w:r w:rsidRPr="0017421E">
        <w:rPr>
          <w:bCs/>
        </w:rPr>
        <w:t>-Romanowska</w:t>
      </w:r>
      <w:r w:rsidR="00287572">
        <w:rPr>
          <w:bCs/>
        </w:rPr>
        <w:t xml:space="preserve"> </w:t>
      </w:r>
      <w:r w:rsidR="00287572" w:rsidRPr="0017421E">
        <w:rPr>
          <w:bCs/>
        </w:rPr>
        <w:t>D</w:t>
      </w:r>
      <w:r w:rsidR="00287572">
        <w:rPr>
          <w:bCs/>
        </w:rPr>
        <w:t>.</w:t>
      </w:r>
      <w:r w:rsidR="00287572" w:rsidRPr="0017421E">
        <w:rPr>
          <w:bCs/>
        </w:rPr>
        <w:t xml:space="preserve"> </w:t>
      </w:r>
      <w:r w:rsidR="00287572">
        <w:rPr>
          <w:bCs/>
        </w:rPr>
        <w:t xml:space="preserve">(red.), </w:t>
      </w:r>
      <w:r w:rsidR="00287572" w:rsidRPr="00287572">
        <w:rPr>
          <w:bCs/>
          <w:i/>
        </w:rPr>
        <w:t>Prawo rynku wewnętrznego. System Prawa Unii Europejskiej. Tom 7</w:t>
      </w:r>
      <w:r w:rsidR="00287572">
        <w:rPr>
          <w:bCs/>
        </w:rPr>
        <w:t>,</w:t>
      </w:r>
      <w:r w:rsidR="00287572" w:rsidRPr="00287572">
        <w:rPr>
          <w:bCs/>
        </w:rPr>
        <w:t xml:space="preserve"> </w:t>
      </w:r>
      <w:r w:rsidR="00287572" w:rsidRPr="0017421E">
        <w:rPr>
          <w:bCs/>
        </w:rPr>
        <w:t xml:space="preserve">Seria: </w:t>
      </w:r>
      <w:r w:rsidR="00287572" w:rsidRPr="00287572">
        <w:rPr>
          <w:bCs/>
          <w:i/>
        </w:rPr>
        <w:t>System Prawa Unii Europejskiej</w:t>
      </w:r>
      <w:r w:rsidR="00287572">
        <w:rPr>
          <w:bCs/>
        </w:rPr>
        <w:t>, Beck 2019</w:t>
      </w:r>
    </w:p>
    <w:p w:rsidR="0078234E" w:rsidRPr="007E787C" w:rsidRDefault="0078234E" w:rsidP="0017421E">
      <w:pPr>
        <w:numPr>
          <w:ilvl w:val="0"/>
          <w:numId w:val="3"/>
        </w:numPr>
        <w:rPr>
          <w:bCs/>
        </w:rPr>
      </w:pPr>
      <w:r w:rsidRPr="007E787C">
        <w:rPr>
          <w:bCs/>
        </w:rPr>
        <w:t>Kuś A. (red.),</w:t>
      </w:r>
      <w:r w:rsidRPr="007E787C">
        <w:rPr>
          <w:bCs/>
          <w:i/>
          <w:iCs/>
        </w:rPr>
        <w:t xml:space="preserve"> Prawo materialne Unii Europejskiej w zarysie, Lublin 2011</w:t>
      </w:r>
      <w:r w:rsidRPr="007E787C">
        <w:rPr>
          <w:bCs/>
        </w:rPr>
        <w:t>,</w:t>
      </w:r>
    </w:p>
    <w:p w:rsidR="0078234E" w:rsidRDefault="0078234E" w:rsidP="0078234E">
      <w:pPr>
        <w:numPr>
          <w:ilvl w:val="0"/>
          <w:numId w:val="3"/>
        </w:numPr>
        <w:rPr>
          <w:bCs/>
        </w:rPr>
      </w:pPr>
      <w:r w:rsidRPr="007E787C">
        <w:rPr>
          <w:bCs/>
        </w:rPr>
        <w:t xml:space="preserve">R. Skubisz, </w:t>
      </w:r>
      <w:r w:rsidRPr="007E787C">
        <w:rPr>
          <w:bCs/>
          <w:i/>
          <w:iCs/>
        </w:rPr>
        <w:t xml:space="preserve">Orzecznictwo Europejskiego Trybunału Sprawiedliwości, </w:t>
      </w:r>
      <w:r w:rsidRPr="007E787C">
        <w:rPr>
          <w:bCs/>
        </w:rPr>
        <w:t>Warszawa 2003</w:t>
      </w:r>
    </w:p>
    <w:p w:rsidR="0078234E" w:rsidRPr="00287572" w:rsidRDefault="0078234E" w:rsidP="0078234E">
      <w:pPr>
        <w:numPr>
          <w:ilvl w:val="0"/>
          <w:numId w:val="3"/>
        </w:numPr>
        <w:rPr>
          <w:b/>
          <w:bCs/>
        </w:rPr>
      </w:pPr>
      <w:r w:rsidRPr="00287572">
        <w:rPr>
          <w:b/>
          <w:bCs/>
        </w:rPr>
        <w:t xml:space="preserve">A. Zawidzka-Łojek, R. Grzeszczak (red.), </w:t>
      </w:r>
      <w:r w:rsidRPr="00287572">
        <w:rPr>
          <w:b/>
          <w:bCs/>
          <w:i/>
        </w:rPr>
        <w:t xml:space="preserve">Prawo materialne Unii Europejskiej, </w:t>
      </w:r>
      <w:r w:rsidRPr="00287572">
        <w:rPr>
          <w:b/>
          <w:bCs/>
        </w:rPr>
        <w:t>Warszawa 201</w:t>
      </w:r>
      <w:r w:rsidR="00287572">
        <w:rPr>
          <w:b/>
          <w:bCs/>
        </w:rPr>
        <w:t>3</w:t>
      </w:r>
      <w:r w:rsidRPr="00287572">
        <w:rPr>
          <w:b/>
          <w:bCs/>
        </w:rPr>
        <w:t>.</w:t>
      </w:r>
    </w:p>
    <w:p w:rsidR="0078234E" w:rsidRPr="007E787C" w:rsidRDefault="0078234E" w:rsidP="0078234E">
      <w:pPr>
        <w:numPr>
          <w:ilvl w:val="0"/>
          <w:numId w:val="3"/>
        </w:numPr>
        <w:rPr>
          <w:bCs/>
        </w:rPr>
      </w:pPr>
      <w:r w:rsidRPr="007E787C">
        <w:rPr>
          <w:bCs/>
        </w:rPr>
        <w:t>Traktat o funkcjonowaniu Unii Europejskiej (TFUE)</w:t>
      </w:r>
    </w:p>
    <w:p w:rsidR="0078234E" w:rsidRDefault="0078234E" w:rsidP="0078234E">
      <w:pPr>
        <w:numPr>
          <w:ilvl w:val="0"/>
          <w:numId w:val="3"/>
        </w:numPr>
        <w:rPr>
          <w:bCs/>
        </w:rPr>
      </w:pPr>
      <w:r w:rsidRPr="007E787C">
        <w:rPr>
          <w:bCs/>
        </w:rPr>
        <w:t>Traktat o Unii Europejskiej (TUE)</w:t>
      </w:r>
    </w:p>
    <w:p w:rsidR="0078234E" w:rsidRDefault="0078234E" w:rsidP="0078234E">
      <w:pPr>
        <w:numPr>
          <w:ilvl w:val="0"/>
          <w:numId w:val="3"/>
        </w:numPr>
        <w:rPr>
          <w:bCs/>
        </w:rPr>
      </w:pPr>
      <w:r w:rsidRPr="00B24C41">
        <w:rPr>
          <w:bCs/>
        </w:rPr>
        <w:t>Dyrektywa 2004/38/WE Parlamentu Europejskiego i Rady z dnia 29 kwietnia 2004 r. w sprawie prawa obywateli Unii i cz</w:t>
      </w:r>
      <w:r>
        <w:rPr>
          <w:bCs/>
        </w:rPr>
        <w:t>łonków ich rodzin do swobodnego, Dz.U. L 158 z 30.4.2004, s</w:t>
      </w:r>
      <w:r w:rsidRPr="00B24C41">
        <w:rPr>
          <w:bCs/>
        </w:rPr>
        <w:t>. 77</w:t>
      </w:r>
    </w:p>
    <w:p w:rsidR="0078234E" w:rsidRDefault="0078234E" w:rsidP="0078234E">
      <w:pPr>
        <w:numPr>
          <w:ilvl w:val="0"/>
          <w:numId w:val="3"/>
        </w:numPr>
        <w:rPr>
          <w:bCs/>
        </w:rPr>
      </w:pPr>
      <w:r w:rsidRPr="00B24C41">
        <w:rPr>
          <w:bCs/>
        </w:rPr>
        <w:t xml:space="preserve">Dyrektywa 2006/123/WE Parlamentu Europejskiego i Rady z dnia 12 grudnia 2006 r. dotycząca usług na rynku wewnętrznym, </w:t>
      </w:r>
      <w:r>
        <w:rPr>
          <w:bCs/>
        </w:rPr>
        <w:t>Dz.U. L 376 z 27.12.2006, s</w:t>
      </w:r>
      <w:r w:rsidRPr="00B24C41">
        <w:rPr>
          <w:bCs/>
        </w:rPr>
        <w:t>. 36</w:t>
      </w:r>
    </w:p>
    <w:p w:rsidR="0078234E" w:rsidRPr="00B24C41" w:rsidRDefault="0078234E" w:rsidP="0078234E">
      <w:pPr>
        <w:numPr>
          <w:ilvl w:val="0"/>
          <w:numId w:val="3"/>
        </w:numPr>
        <w:rPr>
          <w:bCs/>
        </w:rPr>
      </w:pPr>
      <w:r w:rsidRPr="00B24C41">
        <w:rPr>
          <w:bCs/>
        </w:rPr>
        <w:t>Dyrektywa 2005/36/WE Parlamentu Europejskiego i Rady z dnia 7 września 2005 r. w sprawie uz</w:t>
      </w:r>
      <w:r>
        <w:rPr>
          <w:bCs/>
        </w:rPr>
        <w:t>nawania kwalifikacji zawodowych, Dz.U. L 255 z 30.9.2005, s</w:t>
      </w:r>
      <w:r w:rsidRPr="00B24C41">
        <w:rPr>
          <w:bCs/>
        </w:rPr>
        <w:t>. 22</w:t>
      </w:r>
    </w:p>
    <w:p w:rsidR="0078234E" w:rsidRPr="007E787C" w:rsidRDefault="0078234E" w:rsidP="0078234E"/>
    <w:p w:rsidR="0078234E" w:rsidRPr="007E787C" w:rsidRDefault="0078234E" w:rsidP="0078234E">
      <w:pPr>
        <w:rPr>
          <w:b/>
          <w:bCs/>
        </w:rPr>
      </w:pPr>
      <w:r w:rsidRPr="007E787C">
        <w:rPr>
          <w:b/>
          <w:bCs/>
        </w:rPr>
        <w:t>Orzecznictwo:</w:t>
      </w:r>
    </w:p>
    <w:p w:rsidR="000573C0" w:rsidRDefault="000573C0" w:rsidP="00CC27DC">
      <w:pPr>
        <w:numPr>
          <w:ilvl w:val="0"/>
          <w:numId w:val="2"/>
        </w:numPr>
        <w:rPr>
          <w:sz w:val="23"/>
        </w:rPr>
      </w:pPr>
      <w:r w:rsidRPr="00B60EDF">
        <w:t xml:space="preserve">Wyrok </w:t>
      </w:r>
      <w:r>
        <w:t>TS z</w:t>
      </w:r>
      <w:r w:rsidRPr="00B60EDF">
        <w:t xml:space="preserve"> 5 czerwca 2018 r., C-673/16</w:t>
      </w:r>
      <w:r>
        <w:t xml:space="preserve"> </w:t>
      </w:r>
      <w:proofErr w:type="spellStart"/>
      <w:r>
        <w:t>Coman</w:t>
      </w:r>
      <w:proofErr w:type="spellEnd"/>
      <w:r w:rsidRPr="007E787C">
        <w:rPr>
          <w:sz w:val="23"/>
        </w:rPr>
        <w:t xml:space="preserve"> </w:t>
      </w:r>
    </w:p>
    <w:p w:rsidR="0012308C" w:rsidRPr="0012308C" w:rsidRDefault="0012308C" w:rsidP="00CC27DC">
      <w:pPr>
        <w:numPr>
          <w:ilvl w:val="0"/>
          <w:numId w:val="2"/>
        </w:numPr>
        <w:rPr>
          <w:rStyle w:val="przypisydolne"/>
          <w:sz w:val="23"/>
        </w:rPr>
      </w:pPr>
      <w:r w:rsidRPr="00975EC8">
        <w:rPr>
          <w:rStyle w:val="przypisydolne"/>
          <w:sz w:val="24"/>
        </w:rPr>
        <w:t xml:space="preserve">Wyrok </w:t>
      </w:r>
      <w:r>
        <w:rPr>
          <w:rStyle w:val="przypisydolne"/>
          <w:sz w:val="24"/>
        </w:rPr>
        <w:t>TS z</w:t>
      </w:r>
      <w:r w:rsidRPr="00975EC8">
        <w:rPr>
          <w:rStyle w:val="przypisydolne"/>
          <w:sz w:val="24"/>
        </w:rPr>
        <w:t xml:space="preserve"> 7 lipca 1992 r.</w:t>
      </w:r>
      <w:r>
        <w:rPr>
          <w:rStyle w:val="przypisydolne"/>
          <w:sz w:val="24"/>
        </w:rPr>
        <w:t xml:space="preserve">, </w:t>
      </w:r>
      <w:r w:rsidRPr="00975EC8">
        <w:rPr>
          <w:rStyle w:val="przypisydolne"/>
          <w:sz w:val="24"/>
        </w:rPr>
        <w:t>C-369/90</w:t>
      </w:r>
      <w:r>
        <w:rPr>
          <w:rStyle w:val="przypisydolne"/>
          <w:sz w:val="24"/>
        </w:rPr>
        <w:t xml:space="preserve"> </w:t>
      </w:r>
      <w:proofErr w:type="spellStart"/>
      <w:r w:rsidRPr="00975EC8">
        <w:rPr>
          <w:rStyle w:val="przypisydolne"/>
          <w:sz w:val="24"/>
        </w:rPr>
        <w:t>Micheletti</w:t>
      </w:r>
      <w:proofErr w:type="spellEnd"/>
      <w:r w:rsidRPr="00975EC8">
        <w:rPr>
          <w:rStyle w:val="przypisydolne"/>
          <w:sz w:val="24"/>
        </w:rPr>
        <w:t xml:space="preserve"> </w:t>
      </w:r>
    </w:p>
    <w:p w:rsidR="0012308C" w:rsidRPr="0012308C" w:rsidRDefault="0012308C" w:rsidP="000552A5">
      <w:pPr>
        <w:numPr>
          <w:ilvl w:val="0"/>
          <w:numId w:val="2"/>
        </w:numPr>
        <w:suppressAutoHyphens w:val="0"/>
        <w:jc w:val="both"/>
        <w:rPr>
          <w:rStyle w:val="przypisydolne"/>
          <w:sz w:val="24"/>
        </w:rPr>
      </w:pPr>
      <w:r w:rsidRPr="0012308C">
        <w:rPr>
          <w:rStyle w:val="przypisydolne"/>
          <w:sz w:val="24"/>
        </w:rPr>
        <w:lastRenderedPageBreak/>
        <w:t xml:space="preserve">Wyrok TS z 19 października 2004 r., C-200/02 </w:t>
      </w:r>
      <w:proofErr w:type="spellStart"/>
      <w:r w:rsidRPr="0012308C">
        <w:rPr>
          <w:rStyle w:val="przypisydolne"/>
          <w:sz w:val="24"/>
        </w:rPr>
        <w:t>Zhu</w:t>
      </w:r>
      <w:proofErr w:type="spellEnd"/>
      <w:r w:rsidRPr="0012308C">
        <w:rPr>
          <w:rStyle w:val="przypisydolne"/>
          <w:sz w:val="24"/>
        </w:rPr>
        <w:t xml:space="preserve"> i</w:t>
      </w:r>
      <w:r>
        <w:rPr>
          <w:rStyle w:val="przypisydolne"/>
          <w:sz w:val="24"/>
        </w:rPr>
        <w:t xml:space="preserve"> Chen</w:t>
      </w:r>
    </w:p>
    <w:p w:rsidR="0012308C" w:rsidRPr="0012308C" w:rsidRDefault="0012308C" w:rsidP="000552A5">
      <w:pPr>
        <w:numPr>
          <w:ilvl w:val="0"/>
          <w:numId w:val="2"/>
        </w:numPr>
        <w:suppressAutoHyphens w:val="0"/>
        <w:jc w:val="both"/>
      </w:pPr>
      <w:r w:rsidRPr="0012308C">
        <w:t>Wyrok TS z 8 marca 2011 r., C-34/09</w:t>
      </w:r>
      <w:r>
        <w:t xml:space="preserve"> </w:t>
      </w:r>
      <w:proofErr w:type="spellStart"/>
      <w:r w:rsidRPr="0012308C">
        <w:t>Zambrano</w:t>
      </w:r>
      <w:proofErr w:type="spellEnd"/>
      <w:r w:rsidRPr="0012308C">
        <w:t xml:space="preserve"> </w:t>
      </w:r>
    </w:p>
    <w:p w:rsidR="00CC27DC" w:rsidRPr="007E787C" w:rsidRDefault="00CC27DC" w:rsidP="000552A5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23 marca 1982 C 53/81 D.M. </w:t>
      </w:r>
      <w:proofErr w:type="spellStart"/>
      <w:r w:rsidRPr="007E787C">
        <w:rPr>
          <w:sz w:val="23"/>
        </w:rPr>
        <w:t>Levin</w:t>
      </w:r>
      <w:proofErr w:type="spellEnd"/>
    </w:p>
    <w:p w:rsidR="00CC27DC" w:rsidRPr="007E787C" w:rsidRDefault="00CC27DC" w:rsidP="000552A5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3 lipca 1986 C 66/85 </w:t>
      </w:r>
      <w:proofErr w:type="spellStart"/>
      <w:r w:rsidRPr="007E787C">
        <w:rPr>
          <w:sz w:val="23"/>
        </w:rPr>
        <w:t>Deborah</w:t>
      </w:r>
      <w:proofErr w:type="spellEnd"/>
      <w:r w:rsidRPr="007E787C">
        <w:rPr>
          <w:sz w:val="23"/>
        </w:rPr>
        <w:t xml:space="preserve"> </w:t>
      </w:r>
      <w:proofErr w:type="spellStart"/>
      <w:r w:rsidRPr="007E787C">
        <w:rPr>
          <w:sz w:val="23"/>
        </w:rPr>
        <w:t>Lawrie</w:t>
      </w:r>
      <w:proofErr w:type="spellEnd"/>
      <w:r w:rsidRPr="007E787C">
        <w:rPr>
          <w:sz w:val="23"/>
        </w:rPr>
        <w:t>-Blum,</w:t>
      </w:r>
    </w:p>
    <w:p w:rsidR="000573C0" w:rsidRPr="0012308C" w:rsidRDefault="00CC27DC" w:rsidP="000552A5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31 maja 1989 r. C- 344/87 I. </w:t>
      </w:r>
      <w:proofErr w:type="spellStart"/>
      <w:r w:rsidRPr="007E787C">
        <w:rPr>
          <w:sz w:val="23"/>
        </w:rPr>
        <w:t>Bettray</w:t>
      </w:r>
      <w:proofErr w:type="spellEnd"/>
      <w:r w:rsidRPr="007E787C">
        <w:rPr>
          <w:sz w:val="23"/>
        </w:rPr>
        <w:t>,</w:t>
      </w:r>
    </w:p>
    <w:p w:rsidR="00CC27DC" w:rsidRDefault="00CC27DC" w:rsidP="000552A5">
      <w:pPr>
        <w:numPr>
          <w:ilvl w:val="0"/>
          <w:numId w:val="2"/>
        </w:numPr>
        <w:rPr>
          <w:sz w:val="23"/>
        </w:rPr>
      </w:pPr>
      <w:r w:rsidRPr="004E47D9">
        <w:rPr>
          <w:sz w:val="23"/>
        </w:rPr>
        <w:t>Wyrok T</w:t>
      </w:r>
      <w:r>
        <w:rPr>
          <w:sz w:val="23"/>
        </w:rPr>
        <w:t>S</w:t>
      </w:r>
      <w:r w:rsidRPr="004E47D9">
        <w:rPr>
          <w:sz w:val="23"/>
        </w:rPr>
        <w:t xml:space="preserve"> z dnia 27 września 1988 r.</w:t>
      </w:r>
      <w:r>
        <w:rPr>
          <w:sz w:val="23"/>
        </w:rPr>
        <w:t xml:space="preserve"> C 81/87 </w:t>
      </w:r>
      <w:proofErr w:type="spellStart"/>
      <w:r>
        <w:rPr>
          <w:sz w:val="23"/>
        </w:rPr>
        <w:t>Daily</w:t>
      </w:r>
      <w:proofErr w:type="spellEnd"/>
      <w:r>
        <w:rPr>
          <w:sz w:val="23"/>
        </w:rPr>
        <w:t xml:space="preserve"> Mail</w:t>
      </w:r>
    </w:p>
    <w:p w:rsidR="004A340A" w:rsidRDefault="004A340A" w:rsidP="004A340A">
      <w:pPr>
        <w:numPr>
          <w:ilvl w:val="0"/>
          <w:numId w:val="2"/>
        </w:numPr>
        <w:rPr>
          <w:sz w:val="23"/>
        </w:rPr>
      </w:pPr>
      <w:r w:rsidRPr="004E47D9">
        <w:rPr>
          <w:sz w:val="23"/>
        </w:rPr>
        <w:t>Wyrok T</w:t>
      </w:r>
      <w:r>
        <w:rPr>
          <w:sz w:val="23"/>
        </w:rPr>
        <w:t>S</w:t>
      </w:r>
      <w:r w:rsidRPr="004E47D9">
        <w:rPr>
          <w:sz w:val="23"/>
        </w:rPr>
        <w:t xml:space="preserve"> z dnia </w:t>
      </w:r>
      <w:r w:rsidRPr="004A340A">
        <w:rPr>
          <w:sz w:val="23"/>
        </w:rPr>
        <w:t>25 października 2017 r</w:t>
      </w:r>
      <w:r>
        <w:rPr>
          <w:sz w:val="23"/>
        </w:rPr>
        <w:t xml:space="preserve">. </w:t>
      </w:r>
      <w:bookmarkStart w:id="0" w:name="_GoBack"/>
      <w:bookmarkEnd w:id="0"/>
      <w:r w:rsidRPr="004A340A">
        <w:rPr>
          <w:sz w:val="23"/>
        </w:rPr>
        <w:t xml:space="preserve">C-106/16, </w:t>
      </w:r>
      <w:proofErr w:type="spellStart"/>
      <w:r w:rsidRPr="004A340A">
        <w:rPr>
          <w:sz w:val="23"/>
        </w:rPr>
        <w:t>Polbud</w:t>
      </w:r>
      <w:proofErr w:type="spellEnd"/>
    </w:p>
    <w:p w:rsidR="00CC27DC" w:rsidRDefault="00CC27DC" w:rsidP="00CC27DC">
      <w:pPr>
        <w:numPr>
          <w:ilvl w:val="0"/>
          <w:numId w:val="2"/>
        </w:numPr>
        <w:rPr>
          <w:sz w:val="23"/>
        </w:rPr>
      </w:pPr>
      <w:r w:rsidRPr="004E47D9">
        <w:rPr>
          <w:sz w:val="23"/>
        </w:rPr>
        <w:t>Wyrok T</w:t>
      </w:r>
      <w:r>
        <w:rPr>
          <w:sz w:val="23"/>
        </w:rPr>
        <w:t>S</w:t>
      </w:r>
      <w:r w:rsidRPr="004E47D9">
        <w:rPr>
          <w:sz w:val="23"/>
        </w:rPr>
        <w:t xml:space="preserve"> z dnia 25 lipca 1991 </w:t>
      </w:r>
      <w:proofErr w:type="spellStart"/>
      <w:r w:rsidRPr="004E47D9">
        <w:rPr>
          <w:sz w:val="23"/>
        </w:rPr>
        <w:t>r.</w:t>
      </w:r>
      <w:r>
        <w:rPr>
          <w:sz w:val="23"/>
        </w:rPr>
        <w:t>C</w:t>
      </w:r>
      <w:proofErr w:type="spellEnd"/>
      <w:r>
        <w:rPr>
          <w:sz w:val="23"/>
        </w:rPr>
        <w:t xml:space="preserve"> 221/89 </w:t>
      </w:r>
      <w:proofErr w:type="spellStart"/>
      <w:r>
        <w:rPr>
          <w:sz w:val="23"/>
        </w:rPr>
        <w:t>Factortame</w:t>
      </w:r>
      <w:proofErr w:type="spellEnd"/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>Wyrok TS z 30 listopada 1995 C 55/94 Gebhard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4 października 1991 C 159/90 </w:t>
      </w:r>
      <w:proofErr w:type="spellStart"/>
      <w:r w:rsidRPr="007E787C">
        <w:rPr>
          <w:sz w:val="23"/>
        </w:rPr>
        <w:t>Grogan</w:t>
      </w:r>
      <w:proofErr w:type="spellEnd"/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>Wyrok TS z 24 marca 1994 C 275/92 Schindler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>Wyrok TS z 14 października 2004 C 36/02 Omega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4 grudnia 1974 41/74 </w:t>
      </w:r>
      <w:proofErr w:type="spellStart"/>
      <w:r w:rsidRPr="007E787C">
        <w:rPr>
          <w:sz w:val="23"/>
        </w:rPr>
        <w:t>Ivonne</w:t>
      </w:r>
      <w:proofErr w:type="spellEnd"/>
      <w:r w:rsidRPr="007E787C">
        <w:rPr>
          <w:sz w:val="23"/>
        </w:rPr>
        <w:t xml:space="preserve"> van </w:t>
      </w:r>
      <w:proofErr w:type="spellStart"/>
      <w:r w:rsidRPr="007E787C">
        <w:rPr>
          <w:sz w:val="23"/>
        </w:rPr>
        <w:t>Duyn</w:t>
      </w:r>
      <w:proofErr w:type="spellEnd"/>
      <w:r w:rsidRPr="007E787C">
        <w:rPr>
          <w:sz w:val="23"/>
        </w:rPr>
        <w:t>,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26 listopada 2002 C 100/01 </w:t>
      </w:r>
      <w:proofErr w:type="spellStart"/>
      <w:r w:rsidRPr="007E787C">
        <w:rPr>
          <w:sz w:val="23"/>
        </w:rPr>
        <w:t>Olazabal</w:t>
      </w:r>
      <w:proofErr w:type="spellEnd"/>
      <w:r w:rsidRPr="007E787C">
        <w:rPr>
          <w:sz w:val="23"/>
        </w:rPr>
        <w:t>,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>Wyrok TS z 10 grudnia 1968   C 7/68 Komisja p. Włochom,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1 lipca 1969 C 2 i 3/ 69 </w:t>
      </w:r>
      <w:proofErr w:type="spellStart"/>
      <w:r w:rsidRPr="007E787C">
        <w:rPr>
          <w:sz w:val="23"/>
        </w:rPr>
        <w:t>Diamond</w:t>
      </w:r>
      <w:proofErr w:type="spellEnd"/>
      <w:r w:rsidRPr="007E787C">
        <w:rPr>
          <w:sz w:val="23"/>
        </w:rPr>
        <w:t>,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11 lipca 1974 C 8/74 </w:t>
      </w:r>
      <w:proofErr w:type="spellStart"/>
      <w:r w:rsidRPr="007E787C">
        <w:rPr>
          <w:sz w:val="23"/>
        </w:rPr>
        <w:t>Dassonville</w:t>
      </w:r>
      <w:proofErr w:type="spellEnd"/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20 lutego 1979 C 120/78 </w:t>
      </w:r>
      <w:proofErr w:type="spellStart"/>
      <w:r w:rsidRPr="007E787C">
        <w:rPr>
          <w:sz w:val="23"/>
        </w:rPr>
        <w:t>Cassis</w:t>
      </w:r>
      <w:proofErr w:type="spellEnd"/>
      <w:r w:rsidRPr="007E787C">
        <w:rPr>
          <w:sz w:val="23"/>
        </w:rPr>
        <w:t xml:space="preserve"> de Dijon,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10 lipca 1984 C 72/83 Campus </w:t>
      </w:r>
      <w:proofErr w:type="spellStart"/>
      <w:r w:rsidRPr="007E787C">
        <w:rPr>
          <w:sz w:val="23"/>
        </w:rPr>
        <w:t>Oil</w:t>
      </w:r>
      <w:proofErr w:type="spellEnd"/>
      <w:r w:rsidRPr="007E787C">
        <w:rPr>
          <w:sz w:val="23"/>
        </w:rPr>
        <w:t>,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24 listopada 1993 C 267/91 </w:t>
      </w:r>
      <w:proofErr w:type="spellStart"/>
      <w:r w:rsidRPr="007E787C">
        <w:rPr>
          <w:sz w:val="23"/>
        </w:rPr>
        <w:t>Keck</w:t>
      </w:r>
      <w:proofErr w:type="spellEnd"/>
      <w:r w:rsidRPr="007E787C">
        <w:rPr>
          <w:sz w:val="23"/>
        </w:rPr>
        <w:t>,</w:t>
      </w:r>
    </w:p>
    <w:p w:rsidR="00CC27DC" w:rsidRPr="007E787C" w:rsidRDefault="00CC27DC" w:rsidP="00CC27DC">
      <w:pPr>
        <w:numPr>
          <w:ilvl w:val="0"/>
          <w:numId w:val="2"/>
        </w:numPr>
        <w:rPr>
          <w:sz w:val="23"/>
        </w:rPr>
      </w:pPr>
      <w:r w:rsidRPr="007E787C">
        <w:rPr>
          <w:sz w:val="23"/>
        </w:rPr>
        <w:t xml:space="preserve">Wyrok TS z 31 stycznia 1984 C 286/82 </w:t>
      </w:r>
      <w:proofErr w:type="spellStart"/>
      <w:r w:rsidRPr="007E787C">
        <w:rPr>
          <w:sz w:val="23"/>
        </w:rPr>
        <w:t>Luisi</w:t>
      </w:r>
      <w:proofErr w:type="spellEnd"/>
      <w:r w:rsidRPr="007E787C">
        <w:rPr>
          <w:sz w:val="23"/>
        </w:rPr>
        <w:t xml:space="preserve"> and </w:t>
      </w:r>
      <w:proofErr w:type="spellStart"/>
      <w:r w:rsidRPr="007E787C">
        <w:rPr>
          <w:sz w:val="23"/>
        </w:rPr>
        <w:t>Carbone</w:t>
      </w:r>
      <w:proofErr w:type="spellEnd"/>
    </w:p>
    <w:p w:rsidR="0078234E" w:rsidRDefault="0078234E" w:rsidP="0078234E">
      <w:r w:rsidRPr="007E787C">
        <w:t xml:space="preserve">Orzecznictwo dostępne jest na stronie </w:t>
      </w:r>
      <w:r w:rsidRPr="00731319">
        <w:rPr>
          <w:color w:val="1F497D" w:themeColor="text2"/>
          <w:u w:val="single"/>
        </w:rPr>
        <w:t>curia.eu</w:t>
      </w:r>
      <w:r w:rsidRPr="00731319">
        <w:rPr>
          <w:color w:val="1F497D" w:themeColor="text2"/>
        </w:rPr>
        <w:t xml:space="preserve">  </w:t>
      </w:r>
    </w:p>
    <w:p w:rsidR="0078234E" w:rsidRPr="007E787C" w:rsidRDefault="0078234E" w:rsidP="0078234E">
      <w:r w:rsidRPr="007E787C">
        <w:t xml:space="preserve">Akty prawne są dostępne na stronie </w:t>
      </w:r>
      <w:hyperlink r:id="rId7" w:history="1">
        <w:r w:rsidRPr="00AB3B99">
          <w:rPr>
            <w:rStyle w:val="Hipercze"/>
          </w:rPr>
          <w:t>www.eur-lex.pl</w:t>
        </w:r>
      </w:hyperlink>
    </w:p>
    <w:p w:rsidR="0078234E" w:rsidRPr="003A0044" w:rsidRDefault="0078234E" w:rsidP="0078234E">
      <w:pPr>
        <w:pStyle w:val="HTML-wstpniesformatowany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Kontakt z prowadzącym: aparol@kul.pl</w:t>
      </w:r>
    </w:p>
    <w:p w:rsidR="0078234E" w:rsidRPr="007E787C" w:rsidRDefault="0078234E" w:rsidP="0078234E"/>
    <w:p w:rsidR="0078234E" w:rsidRDefault="0078234E" w:rsidP="0078234E">
      <w:pPr>
        <w:pStyle w:val="Nagwek1"/>
        <w:keepNext w:val="0"/>
        <w:jc w:val="both"/>
        <w:rPr>
          <w:lang w:val="pl-PL"/>
        </w:rPr>
      </w:pPr>
      <w:r>
        <w:rPr>
          <w:lang w:val="pl-PL"/>
        </w:rPr>
        <w:t>Sposób oceniania:</w:t>
      </w:r>
    </w:p>
    <w:p w:rsidR="0078234E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</w:p>
    <w:p w:rsidR="0078234E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25 pkt.- kolokwium pisemne (test jednokrotnego i wielokrotnego wyboru lub test otwarty, brak punktów ujemnych)</w:t>
      </w:r>
    </w:p>
    <w:p w:rsidR="0078234E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15 pkt.- kolokwium ustne (trzy pytania losowane z wcześniej podanych tez, za jedno pytanie można uzyskać maksymalnie 10 pkt.)</w:t>
      </w:r>
    </w:p>
    <w:p w:rsidR="0078234E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 pkt.- aktywność (w ramach każdych zajęć można uzyskać 2 pkt., łącznie nie więcej niż 10)</w:t>
      </w:r>
    </w:p>
    <w:p w:rsidR="0078234E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 pkt.- frekwencja (5 pkt.- pełna frekwencja, 3 pkt.- maksymalnie 1 nieobecności usprawiedliwiona)</w:t>
      </w:r>
    </w:p>
    <w:p w:rsidR="0078234E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</w:p>
    <w:p w:rsidR="0078234E" w:rsidRPr="00552D3B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46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50 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>pkt.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</w:t>
      </w:r>
      <w:proofErr w:type="spellStart"/>
      <w:r w:rsidRPr="00552D3B">
        <w:rPr>
          <w:rFonts w:ascii="Times New Roman" w:hAnsi="Times New Roman" w:cs="Times New Roman"/>
          <w:color w:val="auto"/>
          <w:sz w:val="24"/>
          <w:szCs w:val="24"/>
        </w:rPr>
        <w:t>bdb</w:t>
      </w:r>
      <w:proofErr w:type="spellEnd"/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(5,0)</w:t>
      </w:r>
    </w:p>
    <w:p w:rsidR="0078234E" w:rsidRPr="00BE34F6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41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34F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45 </w:t>
      </w:r>
      <w:r w:rsidRPr="00BE34F6">
        <w:rPr>
          <w:rFonts w:ascii="Times New Roman" w:hAnsi="Times New Roman" w:cs="Times New Roman"/>
          <w:color w:val="auto"/>
          <w:sz w:val="24"/>
          <w:szCs w:val="24"/>
        </w:rPr>
        <w:t>pkt.</w:t>
      </w:r>
      <w:r w:rsidRPr="00BE34F6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plus </w:t>
      </w:r>
      <w:proofErr w:type="spellStart"/>
      <w:r w:rsidRPr="00BE34F6">
        <w:rPr>
          <w:rFonts w:ascii="Times New Roman" w:hAnsi="Times New Roman" w:cs="Times New Roman"/>
          <w:color w:val="auto"/>
          <w:sz w:val="24"/>
          <w:szCs w:val="24"/>
        </w:rPr>
        <w:t>db</w:t>
      </w:r>
      <w:proofErr w:type="spellEnd"/>
      <w:r w:rsidRPr="00BE34F6">
        <w:rPr>
          <w:rFonts w:ascii="Times New Roman" w:hAnsi="Times New Roman" w:cs="Times New Roman"/>
          <w:color w:val="auto"/>
          <w:sz w:val="24"/>
          <w:szCs w:val="24"/>
        </w:rPr>
        <w:t xml:space="preserve"> (4,5)</w:t>
      </w:r>
    </w:p>
    <w:p w:rsidR="0078234E" w:rsidRPr="00B24C41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 w:rsidRPr="00B24C41">
        <w:rPr>
          <w:rFonts w:ascii="Times New Roman" w:hAnsi="Times New Roman" w:cs="Times New Roman"/>
          <w:color w:val="auto"/>
          <w:sz w:val="24"/>
          <w:szCs w:val="24"/>
        </w:rPr>
        <w:t>36 – 40 pkt.</w:t>
      </w:r>
      <w:r w:rsidRPr="00B24C41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</w:t>
      </w:r>
      <w:proofErr w:type="spellStart"/>
      <w:r w:rsidRPr="00B24C41">
        <w:rPr>
          <w:rFonts w:ascii="Times New Roman" w:hAnsi="Times New Roman" w:cs="Times New Roman"/>
          <w:color w:val="auto"/>
          <w:sz w:val="24"/>
          <w:szCs w:val="24"/>
        </w:rPr>
        <w:t>bd</w:t>
      </w:r>
      <w:proofErr w:type="spellEnd"/>
      <w:r w:rsidRPr="00B24C41">
        <w:rPr>
          <w:rFonts w:ascii="Times New Roman" w:hAnsi="Times New Roman" w:cs="Times New Roman"/>
          <w:color w:val="auto"/>
          <w:sz w:val="24"/>
          <w:szCs w:val="24"/>
        </w:rPr>
        <w:t xml:space="preserve"> (4,0)</w:t>
      </w:r>
    </w:p>
    <w:p w:rsidR="0078234E" w:rsidRPr="00B24C41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31</w:t>
      </w:r>
      <w:r w:rsidRPr="00212B6F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BE34F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– 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35</w:t>
      </w:r>
      <w:r w:rsidRPr="00BE34F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pkt.</w:t>
      </w:r>
      <w:r w:rsidRPr="00BE34F6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 xml:space="preserve">- plus dst. </w:t>
      </w:r>
      <w:r w:rsidRPr="00B24C41">
        <w:rPr>
          <w:rFonts w:ascii="Times New Roman" w:hAnsi="Times New Roman" w:cs="Times New Roman"/>
          <w:color w:val="auto"/>
          <w:sz w:val="24"/>
          <w:szCs w:val="24"/>
          <w:lang w:val="fr-FR"/>
        </w:rPr>
        <w:t>(3,5)</w:t>
      </w:r>
    </w:p>
    <w:p w:rsidR="0078234E" w:rsidRPr="00B24C41" w:rsidRDefault="0078234E" w:rsidP="0078234E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B24C4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26 – 30 pkt. </w:t>
      </w:r>
      <w:r w:rsidRPr="00B24C41">
        <w:rPr>
          <w:rFonts w:ascii="Times New Roman" w:hAnsi="Times New Roman" w:cs="Times New Roman"/>
          <w:color w:val="auto"/>
          <w:sz w:val="24"/>
          <w:szCs w:val="24"/>
          <w:lang w:val="fr-FR"/>
        </w:rPr>
        <w:tab/>
        <w:t>- dst. (3,0)</w:t>
      </w:r>
    </w:p>
    <w:p w:rsidR="0078234E" w:rsidRPr="00957F47" w:rsidRDefault="0078234E" w:rsidP="0078234E">
      <w:pPr>
        <w:pStyle w:val="HTML-wstpniesformatowany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</w:p>
    <w:p w:rsidR="0078234E" w:rsidRDefault="0078234E" w:rsidP="0078234E">
      <w:pPr>
        <w:pStyle w:val="HTML-wstpniesformatowany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Warunkiem uzyskania zaliczenia z ćwiczeń jest:</w:t>
      </w:r>
    </w:p>
    <w:p w:rsidR="0078234E" w:rsidRDefault="0078234E" w:rsidP="0078234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0044">
        <w:rPr>
          <w:rFonts w:ascii="Times New Roman" w:hAnsi="Times New Roman" w:cs="Times New Roman"/>
          <w:b/>
          <w:color w:val="auto"/>
          <w:sz w:val="24"/>
          <w:szCs w:val="24"/>
        </w:rPr>
        <w:t>Uczestnictwo w zajęciach</w:t>
      </w:r>
      <w:r w:rsidRPr="003A0044">
        <w:rPr>
          <w:rFonts w:ascii="Times New Roman" w:hAnsi="Times New Roman" w:cs="Times New Roman"/>
          <w:color w:val="auto"/>
          <w:sz w:val="24"/>
          <w:szCs w:val="24"/>
        </w:rPr>
        <w:t xml:space="preserve">. Student może opuścić maksymalnie </w:t>
      </w:r>
      <w:r w:rsidR="00742E96">
        <w:rPr>
          <w:rFonts w:ascii="Times New Roman" w:hAnsi="Times New Roman" w:cs="Times New Roman"/>
          <w:color w:val="auto"/>
          <w:sz w:val="24"/>
          <w:szCs w:val="24"/>
        </w:rPr>
        <w:t>dwa</w:t>
      </w:r>
      <w:r w:rsidRPr="003A0044">
        <w:rPr>
          <w:rFonts w:ascii="Times New Roman" w:hAnsi="Times New Roman" w:cs="Times New Roman"/>
          <w:color w:val="auto"/>
          <w:sz w:val="24"/>
          <w:szCs w:val="24"/>
        </w:rPr>
        <w:t xml:space="preserve"> zajęcia </w:t>
      </w:r>
      <w:r>
        <w:rPr>
          <w:rFonts w:ascii="Times New Roman" w:hAnsi="Times New Roman" w:cs="Times New Roman"/>
          <w:color w:val="auto"/>
          <w:sz w:val="24"/>
          <w:szCs w:val="24"/>
        </w:rPr>
        <w:t>z ważnego powodu. P</w:t>
      </w:r>
      <w:r w:rsidRPr="003A0044">
        <w:rPr>
          <w:rFonts w:ascii="Times New Roman" w:hAnsi="Times New Roman" w:cs="Times New Roman"/>
          <w:color w:val="auto"/>
          <w:sz w:val="24"/>
          <w:szCs w:val="24"/>
        </w:rPr>
        <w:t xml:space="preserve">ozostałe nieobecności podlegają konieczności usprawiedliwienia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odrobienia w czasie konsultacji. Usprawiedliwienie nieobecności dokonywane jest pisemnie wyłącznie w przypadku zaistnienia </w:t>
      </w:r>
      <w:r w:rsidRPr="00212B6F">
        <w:rPr>
          <w:rFonts w:ascii="Times New Roman" w:hAnsi="Times New Roman" w:cs="Times New Roman"/>
          <w:b/>
          <w:color w:val="auto"/>
          <w:sz w:val="24"/>
          <w:szCs w:val="24"/>
        </w:rPr>
        <w:t>ważnej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przyczyny i może podlegać weryfikacji. Odrobienie zajęć ma miejsce w czasie dwóch najbliższych terminów konsultacji od ustania przyczyny nieobecności</w:t>
      </w:r>
      <w:r w:rsidRPr="003A004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8234E" w:rsidRDefault="0078234E" w:rsidP="0078234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Uzyskanie zaliczenia z dwóch kolokwiów, </w:t>
      </w:r>
      <w:r w:rsidRPr="00552D3B">
        <w:rPr>
          <w:rFonts w:ascii="Times New Roman" w:hAnsi="Times New Roman" w:cs="Times New Roman"/>
          <w:color w:val="auto"/>
          <w:sz w:val="24"/>
          <w:szCs w:val="24"/>
        </w:rPr>
        <w:t xml:space="preserve">(w obu przypadkach </w:t>
      </w:r>
      <w:r>
        <w:rPr>
          <w:rFonts w:ascii="Times New Roman" w:hAnsi="Times New Roman" w:cs="Times New Roman"/>
          <w:color w:val="auto"/>
          <w:sz w:val="24"/>
          <w:szCs w:val="24"/>
        </w:rPr>
        <w:t>warunkiem zaliczenia jest uzyskanie więcej niż 50 %  punktów)</w:t>
      </w:r>
    </w:p>
    <w:p w:rsidR="0078234E" w:rsidRDefault="0078234E" w:rsidP="0078234E">
      <w:pPr>
        <w:pStyle w:val="HTML-wstpniesformatowany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Warunki winny zostać spełnione kumulatywnie.</w:t>
      </w:r>
    </w:p>
    <w:p w:rsidR="0078234E" w:rsidRPr="007E787C" w:rsidRDefault="0078234E" w:rsidP="0078234E"/>
    <w:p w:rsidR="002912E8" w:rsidRDefault="002912E8"/>
    <w:sectPr w:rsidR="002912E8">
      <w:footerReference w:type="default" r:id="rId8"/>
      <w:pgSz w:w="11906" w:h="16838"/>
      <w:pgMar w:top="1418" w:right="1418" w:bottom="119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47" w:rsidRDefault="00710E47">
      <w:r>
        <w:separator/>
      </w:r>
    </w:p>
  </w:endnote>
  <w:endnote w:type="continuationSeparator" w:id="0">
    <w:p w:rsidR="00710E47" w:rsidRDefault="0071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AA" w:rsidRDefault="00CC27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340A" w:rsidRPr="004A340A">
      <w:rPr>
        <w:noProof/>
        <w:lang w:val="pl-PL"/>
      </w:rPr>
      <w:t>3</w:t>
    </w:r>
    <w:r>
      <w:fldChar w:fldCharType="end"/>
    </w:r>
  </w:p>
  <w:p w:rsidR="003058BF" w:rsidRDefault="00710E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47" w:rsidRDefault="00710E47">
      <w:r>
        <w:separator/>
      </w:r>
    </w:p>
  </w:footnote>
  <w:footnote w:type="continuationSeparator" w:id="0">
    <w:p w:rsidR="00710E47" w:rsidRDefault="0071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87"/>
        </w:tabs>
        <w:ind w:left="1987" w:hanging="90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b w:val="0"/>
        <w:i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E5C7042"/>
    <w:multiLevelType w:val="hybridMultilevel"/>
    <w:tmpl w:val="F1A2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468D"/>
    <w:multiLevelType w:val="hybridMultilevel"/>
    <w:tmpl w:val="8408C77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E"/>
    <w:rsid w:val="000552A5"/>
    <w:rsid w:val="000573C0"/>
    <w:rsid w:val="0012308C"/>
    <w:rsid w:val="0017421E"/>
    <w:rsid w:val="00287572"/>
    <w:rsid w:val="002912E8"/>
    <w:rsid w:val="003B6443"/>
    <w:rsid w:val="004A340A"/>
    <w:rsid w:val="006B7035"/>
    <w:rsid w:val="00710E47"/>
    <w:rsid w:val="00731319"/>
    <w:rsid w:val="0073376D"/>
    <w:rsid w:val="00742E96"/>
    <w:rsid w:val="0078234E"/>
    <w:rsid w:val="00863C7B"/>
    <w:rsid w:val="009C7CDD"/>
    <w:rsid w:val="00AF7DB7"/>
    <w:rsid w:val="00BA684D"/>
    <w:rsid w:val="00C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3049-A96A-4AFB-93D3-2AE7902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34E"/>
    <w:pPr>
      <w:keepNext/>
      <w:numPr>
        <w:numId w:val="1"/>
      </w:numPr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link w:val="Nagwek2Znak"/>
    <w:qFormat/>
    <w:rsid w:val="0078234E"/>
    <w:pPr>
      <w:keepNext/>
      <w:numPr>
        <w:ilvl w:val="1"/>
        <w:numId w:val="1"/>
      </w:numPr>
      <w:spacing w:line="200" w:lineRule="atLeast"/>
      <w:jc w:val="both"/>
      <w:outlineLvl w:val="1"/>
    </w:pPr>
    <w:rPr>
      <w:rFonts w:ascii="Arial" w:hAnsi="Arial" w:cs="Arial"/>
      <w:b/>
      <w:bCs/>
      <w:i/>
      <w:lang w:val="en-US"/>
    </w:rPr>
  </w:style>
  <w:style w:type="paragraph" w:styleId="Nagwek3">
    <w:name w:val="heading 3"/>
    <w:basedOn w:val="Normalny"/>
    <w:next w:val="Normalny"/>
    <w:link w:val="Nagwek3Znak"/>
    <w:qFormat/>
    <w:rsid w:val="0078234E"/>
    <w:pPr>
      <w:keepNext/>
      <w:numPr>
        <w:ilvl w:val="2"/>
        <w:numId w:val="1"/>
      </w:numPr>
      <w:spacing w:line="200" w:lineRule="atLeast"/>
      <w:jc w:val="both"/>
      <w:outlineLvl w:val="2"/>
    </w:pPr>
    <w:rPr>
      <w:rFonts w:ascii="Arial" w:hAnsi="Arial" w:cs="Arial"/>
      <w:b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34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78234E"/>
    <w:rPr>
      <w:rFonts w:ascii="Arial" w:eastAsia="Times New Roman" w:hAnsi="Arial" w:cs="Arial"/>
      <w:b/>
      <w:bCs/>
      <w:i/>
      <w:sz w:val="24"/>
      <w:szCs w:val="24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78234E"/>
    <w:rPr>
      <w:rFonts w:ascii="Arial" w:eastAsia="Times New Roman" w:hAnsi="Arial" w:cs="Arial"/>
      <w:b/>
      <w:iCs/>
      <w:sz w:val="24"/>
      <w:szCs w:val="24"/>
      <w:lang w:val="en-US" w:eastAsia="ar-SA"/>
    </w:rPr>
  </w:style>
  <w:style w:type="character" w:styleId="Hipercze">
    <w:name w:val="Hyperlink"/>
    <w:rsid w:val="0078234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82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8234E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8234E"/>
    <w:pPr>
      <w:tabs>
        <w:tab w:val="center" w:pos="4536"/>
        <w:tab w:val="right" w:pos="9072"/>
      </w:tabs>
    </w:pPr>
    <w:rPr>
      <w:rFonts w:eastAsia="SimSu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78234E"/>
    <w:rPr>
      <w:rFonts w:ascii="Times New Roman" w:eastAsia="SimSun" w:hAnsi="Times New Roman" w:cs="Times New Roman"/>
      <w:sz w:val="24"/>
      <w:szCs w:val="24"/>
      <w:lang w:val="en-GB" w:eastAsia="ar-SA"/>
    </w:rPr>
  </w:style>
  <w:style w:type="character" w:customStyle="1" w:styleId="przypisydolne">
    <w:name w:val="przypisy dolne"/>
    <w:uiPriority w:val="1"/>
    <w:qFormat/>
    <w:rsid w:val="0012308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ur-l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KPUE</dc:creator>
  <cp:lastModifiedBy>aparol</cp:lastModifiedBy>
  <cp:revision>4</cp:revision>
  <dcterms:created xsi:type="dcterms:W3CDTF">2023-02-22T08:27:00Z</dcterms:created>
  <dcterms:modified xsi:type="dcterms:W3CDTF">2023-02-28T10:22:00Z</dcterms:modified>
</cp:coreProperties>
</file>